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1202EC25" w:rsidR="00100BDD" w:rsidRPr="00100BDD"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3GPP TSG-RAN WG4 Meeting #115</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00431E33" w:rsidRPr="00431E33">
        <w:rPr>
          <w:rFonts w:ascii="Arial" w:eastAsiaTheme="minorEastAsia" w:hAnsi="Arial" w:cs="Arial"/>
          <w:b/>
        </w:rPr>
        <w:t>R4-2507390</w:t>
      </w:r>
    </w:p>
    <w:p w14:paraId="5C136542" w14:textId="77777777" w:rsidR="00100BDD" w:rsidRPr="00100BDD" w:rsidRDefault="00100BDD" w:rsidP="00100BDD">
      <w:pPr>
        <w:tabs>
          <w:tab w:val="center" w:pos="4536"/>
          <w:tab w:val="right" w:pos="9072"/>
        </w:tabs>
        <w:spacing w:line="276" w:lineRule="auto"/>
        <w:rPr>
          <w:rFonts w:ascii="Arial" w:eastAsiaTheme="minorEastAsia" w:hAnsi="Arial" w:cs="Arial"/>
          <w:b/>
        </w:rPr>
      </w:pPr>
      <w:r w:rsidRPr="00100BDD">
        <w:rPr>
          <w:rFonts w:ascii="Arial" w:eastAsiaTheme="minorEastAsia" w:hAnsi="Arial" w:cs="Arial"/>
          <w:b/>
        </w:rPr>
        <w:t>Malta, MT, 19</w:t>
      </w:r>
      <w:r w:rsidRPr="00100BDD">
        <w:rPr>
          <w:rFonts w:ascii="Arial" w:eastAsiaTheme="minorEastAsia" w:hAnsi="Arial" w:cs="Arial"/>
          <w:b/>
          <w:vertAlign w:val="superscript"/>
        </w:rPr>
        <w:t>th</w:t>
      </w:r>
      <w:r w:rsidRPr="00100BDD">
        <w:rPr>
          <w:rFonts w:ascii="Arial" w:eastAsiaTheme="minorEastAsia" w:hAnsi="Arial" w:cs="Arial"/>
          <w:b/>
        </w:rPr>
        <w:t xml:space="preserve"> – 23</w:t>
      </w:r>
      <w:r w:rsidRPr="00100BDD">
        <w:rPr>
          <w:rFonts w:ascii="Arial" w:eastAsiaTheme="minorEastAsia" w:hAnsi="Arial" w:cs="Arial"/>
          <w:b/>
          <w:vertAlign w:val="superscript"/>
        </w:rPr>
        <w:t>rd</w:t>
      </w:r>
      <w:r w:rsidRPr="00100BDD">
        <w:rPr>
          <w:rFonts w:ascii="Arial" w:eastAsiaTheme="minorEastAsia" w:hAnsi="Arial" w:cs="Arial"/>
          <w:b/>
        </w:rPr>
        <w:t xml:space="preserve"> </w:t>
      </w:r>
      <w:proofErr w:type="gramStart"/>
      <w:r w:rsidRPr="00100BDD">
        <w:rPr>
          <w:rFonts w:ascii="Arial" w:eastAsiaTheme="minorEastAsia" w:hAnsi="Arial" w:cs="Arial"/>
          <w:b/>
        </w:rPr>
        <w:t>May,</w:t>
      </w:r>
      <w:proofErr w:type="gramEnd"/>
      <w:r w:rsidRPr="00100BDD">
        <w:rPr>
          <w:rFonts w:ascii="Arial" w:eastAsiaTheme="minorEastAsia" w:hAnsi="Arial" w:cs="Arial"/>
          <w:b/>
        </w:rPr>
        <w:t xml:space="preserve">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719DA699"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936527" w:rsidRPr="00F218D2">
        <w:rPr>
          <w:rFonts w:ascii="Arial" w:eastAsiaTheme="minorEastAsia" w:hAnsi="Arial" w:hint="eastAsia"/>
        </w:rPr>
        <w:t>9</w:t>
      </w:r>
    </w:p>
    <w:p w14:paraId="00F1FD44" w14:textId="1A1385D6"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Source</w:t>
      </w:r>
      <w:proofErr w:type="gramStart"/>
      <w:r w:rsidRPr="00F218D2">
        <w:rPr>
          <w:rFonts w:ascii="Arial" w:eastAsia="Malgun Gothic" w:hAnsi="Arial"/>
          <w:b/>
          <w:lang w:eastAsia="en-US"/>
        </w:rPr>
        <w:t xml:space="preserve">: </w:t>
      </w:r>
      <w:r w:rsidRPr="00F218D2">
        <w:rPr>
          <w:rFonts w:ascii="Arial" w:eastAsia="Malgun Gothic" w:hAnsi="Arial"/>
          <w:b/>
          <w:lang w:eastAsia="en-US"/>
        </w:rPr>
        <w:tab/>
      </w:r>
      <w:r w:rsidR="00F66EDE">
        <w:rPr>
          <w:rFonts w:ascii="Arial" w:eastAsiaTheme="minorEastAsia" w:hAnsi="Arial"/>
        </w:rPr>
        <w:t>Nokia</w:t>
      </w:r>
      <w:proofErr w:type="gramEnd"/>
    </w:p>
    <w:p w14:paraId="5E8DDA84" w14:textId="25442118" w:rsidR="009256F6" w:rsidRPr="00F218D2" w:rsidRDefault="009256F6" w:rsidP="009256F6">
      <w:pPr>
        <w:tabs>
          <w:tab w:val="left" w:pos="1985"/>
        </w:tabs>
        <w:spacing w:after="120" w:line="288" w:lineRule="auto"/>
        <w:ind w:left="2040" w:hangingChars="850" w:hanging="2040"/>
        <w:jc w:val="both"/>
        <w:rPr>
          <w:rFonts w:ascii="DengXian" w:eastAsiaTheme="minorEastAsia" w:hAnsi="DengXian"/>
        </w:rPr>
      </w:pPr>
      <w:r w:rsidRPr="00F218D2">
        <w:rPr>
          <w:rFonts w:ascii="Arial" w:eastAsia="Malgun Gothic" w:hAnsi="Arial"/>
          <w:b/>
          <w:lang w:eastAsia="en-US"/>
        </w:rPr>
        <w:t>Title</w:t>
      </w:r>
      <w:proofErr w:type="gramStart"/>
      <w:r w:rsidRPr="00F218D2">
        <w:rPr>
          <w:rFonts w:ascii="Arial" w:eastAsia="Malgun Gothic" w:hAnsi="Arial"/>
          <w:b/>
          <w:lang w:eastAsia="en-US"/>
        </w:rPr>
        <w:t xml:space="preserve">: </w:t>
      </w:r>
      <w:r w:rsidRPr="00F218D2">
        <w:rPr>
          <w:rFonts w:ascii="Arial" w:eastAsia="Malgun Gothic" w:hAnsi="Arial"/>
          <w:b/>
          <w:lang w:eastAsia="en-US"/>
        </w:rPr>
        <w:tab/>
      </w:r>
      <w:r w:rsidR="003A553B" w:rsidRPr="003A553B">
        <w:rPr>
          <w:rFonts w:ascii="Arial" w:eastAsiaTheme="minorEastAsia" w:hAnsi="Arial"/>
        </w:rPr>
        <w:t>Discussion</w:t>
      </w:r>
      <w:proofErr w:type="gramEnd"/>
      <w:r w:rsidR="003A553B" w:rsidRPr="003A553B">
        <w:rPr>
          <w:rFonts w:ascii="Arial" w:eastAsiaTheme="minorEastAsia" w:hAnsi="Arial"/>
        </w:rPr>
        <w:t xml:space="preserve"> on Rel-19 RAN4 UE feature list for NR for XR_Ph3</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77777777" w:rsidR="009E676C" w:rsidRPr="00F218D2"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47A3CAE4" w:rsidR="007950C2" w:rsidRPr="00760175" w:rsidRDefault="000B385A" w:rsidP="00384BE5">
      <w:pPr>
        <w:rPr>
          <w:rFonts w:ascii="Times New Roman" w:eastAsiaTheme="minorEastAsia" w:hAnsi="Times New Roman" w:cs="Times New Roman"/>
          <w:sz w:val="20"/>
          <w:szCs w:val="20"/>
        </w:rPr>
      </w:pPr>
      <w:r w:rsidRPr="00760175">
        <w:rPr>
          <w:rFonts w:ascii="Times New Roman" w:eastAsiaTheme="minorEastAsia" w:hAnsi="Times New Roman" w:cs="Times New Roman"/>
          <w:sz w:val="20"/>
          <w:szCs w:val="20"/>
        </w:rPr>
        <w:t>This contribution includes the RAN4 UE feature list</w:t>
      </w:r>
      <w:r w:rsidR="00E07554" w:rsidRPr="00760175">
        <w:rPr>
          <w:rFonts w:ascii="Times New Roman" w:eastAsiaTheme="minorEastAsia" w:hAnsi="Times New Roman" w:cs="Times New Roman"/>
          <w:sz w:val="20"/>
          <w:szCs w:val="20"/>
        </w:rPr>
        <w:t xml:space="preserve"> for Rel-1</w:t>
      </w:r>
      <w:r w:rsidR="007E1173" w:rsidRPr="00760175">
        <w:rPr>
          <w:rFonts w:ascii="Times New Roman" w:eastAsiaTheme="minorEastAsia" w:hAnsi="Times New Roman" w:cs="Times New Roman" w:hint="eastAsia"/>
          <w:sz w:val="20"/>
          <w:szCs w:val="20"/>
        </w:rPr>
        <w:t>9</w:t>
      </w:r>
      <w:r w:rsidR="00E07554" w:rsidRPr="00760175">
        <w:rPr>
          <w:rFonts w:ascii="Times New Roman" w:eastAsiaTheme="minorEastAsia" w:hAnsi="Times New Roman" w:cs="Times New Roman"/>
          <w:sz w:val="20"/>
          <w:szCs w:val="20"/>
        </w:rPr>
        <w:t xml:space="preserve"> N</w:t>
      </w:r>
      <w:r w:rsidR="005A37F6" w:rsidRPr="00760175">
        <w:rPr>
          <w:rFonts w:ascii="Times New Roman" w:eastAsiaTheme="minorEastAsia" w:hAnsi="Times New Roman" w:cs="Times New Roman"/>
          <w:sz w:val="20"/>
          <w:szCs w:val="20"/>
        </w:rPr>
        <w:t>R</w:t>
      </w:r>
      <w:r w:rsidR="00605BD7" w:rsidRPr="00760175">
        <w:rPr>
          <w:rFonts w:ascii="Times New Roman" w:eastAsiaTheme="minorEastAsia" w:hAnsi="Times New Roman" w:cs="Times New Roman"/>
          <w:sz w:val="20"/>
          <w:szCs w:val="20"/>
        </w:rPr>
        <w:t>.</w:t>
      </w:r>
      <w:r w:rsidR="008E377B" w:rsidRPr="00760175">
        <w:rPr>
          <w:rFonts w:ascii="Times New Roman" w:eastAsiaTheme="minorEastAsia" w:hAnsi="Times New Roman" w:cs="Times New Roman" w:hint="eastAsia"/>
          <w:sz w:val="20"/>
          <w:szCs w:val="20"/>
        </w:rPr>
        <w:t xml:space="preserve"> </w:t>
      </w:r>
    </w:p>
    <w:p w14:paraId="44DFD524" w14:textId="77777777" w:rsidR="009134B4" w:rsidRDefault="009134B4" w:rsidP="00DD0D67">
      <w:pPr>
        <w:rPr>
          <w:rFonts w:ascii="Arial" w:eastAsiaTheme="minorEastAsia" w:hAnsi="Arial" w:cs="Arial"/>
          <w:sz w:val="28"/>
          <w:szCs w:val="28"/>
        </w:rPr>
      </w:pPr>
    </w:p>
    <w:p w14:paraId="72C21BE9" w14:textId="44FF4318" w:rsidR="00A543A5" w:rsidRDefault="00A543A5" w:rsidP="00A543A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543A5">
        <w:rPr>
          <w:rFonts w:ascii="Arial" w:eastAsia="Batang" w:hAnsi="Arial" w:cs="Arial" w:hint="eastAsia"/>
          <w:sz w:val="28"/>
          <w:szCs w:val="28"/>
          <w:lang w:val="en-US" w:eastAsia="ko-KR"/>
        </w:rPr>
        <w:t>NR_XR_Ph3</w:t>
      </w:r>
    </w:p>
    <w:p w14:paraId="7B197502" w14:textId="77777777" w:rsidR="004B7D32" w:rsidRPr="00760175" w:rsidRDefault="00992C95" w:rsidP="00A11A7A">
      <w:pPr>
        <w:rPr>
          <w:rFonts w:ascii="Times New Roman" w:hAnsi="Times New Roman" w:cs="Times New Roman"/>
          <w:sz w:val="20"/>
          <w:szCs w:val="20"/>
          <w:lang w:eastAsia="ko-KR"/>
        </w:rPr>
      </w:pPr>
      <w:r w:rsidRPr="00760175">
        <w:rPr>
          <w:rFonts w:ascii="Times New Roman" w:hAnsi="Times New Roman" w:cs="Times New Roman"/>
          <w:sz w:val="20"/>
          <w:szCs w:val="20"/>
          <w:lang w:eastAsia="ko-KR"/>
        </w:rPr>
        <w:t xml:space="preserve">RAN1 features include </w:t>
      </w:r>
      <w:r w:rsidR="00B46328" w:rsidRPr="00760175">
        <w:rPr>
          <w:rFonts w:ascii="Times New Roman" w:hAnsi="Times New Roman" w:cs="Times New Roman"/>
          <w:sz w:val="20"/>
          <w:szCs w:val="20"/>
          <w:lang w:eastAsia="ko-KR"/>
        </w:rPr>
        <w:t xml:space="preserve">feature group 64, with 64-1 for </w:t>
      </w:r>
      <w:r w:rsidR="008D6301" w:rsidRPr="00760175">
        <w:rPr>
          <w:rFonts w:ascii="Times New Roman" w:hAnsi="Times New Roman" w:cs="Times New Roman"/>
          <w:sz w:val="20"/>
          <w:szCs w:val="20"/>
          <w:lang w:eastAsia="ko-KR"/>
        </w:rPr>
        <w:t xml:space="preserve">enabling TX/RX during measurement </w:t>
      </w:r>
      <w:proofErr w:type="gramStart"/>
      <w:r w:rsidR="008D6301" w:rsidRPr="00760175">
        <w:rPr>
          <w:rFonts w:ascii="Times New Roman" w:hAnsi="Times New Roman" w:cs="Times New Roman"/>
          <w:sz w:val="20"/>
          <w:szCs w:val="20"/>
          <w:lang w:eastAsia="ko-KR"/>
        </w:rPr>
        <w:t>gap</w:t>
      </w:r>
      <w:proofErr w:type="gramEnd"/>
      <w:r w:rsidR="008D6301" w:rsidRPr="00760175">
        <w:rPr>
          <w:rFonts w:ascii="Times New Roman" w:hAnsi="Times New Roman" w:cs="Times New Roman"/>
          <w:sz w:val="20"/>
          <w:szCs w:val="20"/>
          <w:lang w:eastAsia="ko-KR"/>
        </w:rPr>
        <w:t xml:space="preserve"> with scheduling </w:t>
      </w:r>
      <w:proofErr w:type="gramStart"/>
      <w:r w:rsidR="008D6301" w:rsidRPr="00760175">
        <w:rPr>
          <w:rFonts w:ascii="Times New Roman" w:hAnsi="Times New Roman" w:cs="Times New Roman"/>
          <w:sz w:val="20"/>
          <w:szCs w:val="20"/>
          <w:lang w:eastAsia="ko-KR"/>
        </w:rPr>
        <w:t>restriction</w:t>
      </w:r>
      <w:proofErr w:type="gramEnd"/>
      <w:r w:rsidR="00E516ED" w:rsidRPr="00760175">
        <w:rPr>
          <w:rFonts w:ascii="Times New Roman" w:hAnsi="Times New Roman" w:cs="Times New Roman"/>
          <w:sz w:val="20"/>
          <w:szCs w:val="20"/>
          <w:lang w:eastAsia="ko-KR"/>
        </w:rPr>
        <w:t xml:space="preserve">, which already include </w:t>
      </w:r>
    </w:p>
    <w:p w14:paraId="78AD8F62" w14:textId="45441A9B" w:rsidR="004B7D32" w:rsidRPr="00760175" w:rsidRDefault="00E516ED" w:rsidP="004B7D32">
      <w:pPr>
        <w:pStyle w:val="ListParagraph"/>
        <w:numPr>
          <w:ilvl w:val="0"/>
          <w:numId w:val="33"/>
        </w:numPr>
        <w:ind w:leftChars="0"/>
        <w:rPr>
          <w:sz w:val="20"/>
          <w:lang w:eastAsia="ko-KR"/>
        </w:rPr>
      </w:pPr>
      <w:r w:rsidRPr="00760175">
        <w:rPr>
          <w:sz w:val="20"/>
          <w:lang w:eastAsia="ko-KR"/>
        </w:rPr>
        <w:t xml:space="preserve">the </w:t>
      </w:r>
      <w:r w:rsidR="004B7D32" w:rsidRPr="00760175">
        <w:rPr>
          <w:sz w:val="20"/>
          <w:lang w:eastAsia="ko-KR"/>
        </w:rPr>
        <w:t>different time offset values for DCI skipping</w:t>
      </w:r>
      <w:r w:rsidR="00FA4DC0" w:rsidRPr="00760175">
        <w:rPr>
          <w:sz w:val="20"/>
          <w:lang w:eastAsia="ko-KR"/>
        </w:rPr>
        <w:t xml:space="preserve"> of 5 </w:t>
      </w:r>
      <w:proofErr w:type="spellStart"/>
      <w:r w:rsidR="00FA4DC0" w:rsidRPr="00760175">
        <w:rPr>
          <w:sz w:val="20"/>
          <w:lang w:eastAsia="ko-KR"/>
        </w:rPr>
        <w:t>ms</w:t>
      </w:r>
      <w:proofErr w:type="spellEnd"/>
      <w:r w:rsidR="00FA4DC0" w:rsidRPr="00760175">
        <w:rPr>
          <w:sz w:val="20"/>
          <w:lang w:eastAsia="ko-KR"/>
        </w:rPr>
        <w:t xml:space="preserve"> and 3 </w:t>
      </w:r>
      <w:proofErr w:type="spellStart"/>
      <w:r w:rsidR="00FA4DC0" w:rsidRPr="00760175">
        <w:rPr>
          <w:sz w:val="20"/>
          <w:lang w:eastAsia="ko-KR"/>
        </w:rPr>
        <w:t>ms</w:t>
      </w:r>
      <w:proofErr w:type="spellEnd"/>
      <w:r w:rsidR="00FA4DC0" w:rsidRPr="00760175">
        <w:rPr>
          <w:sz w:val="20"/>
          <w:lang w:eastAsia="ko-KR"/>
        </w:rPr>
        <w:t xml:space="preserve"> as indicated in RAN4 LS </w:t>
      </w:r>
      <w:r w:rsidR="00FA4DC0" w:rsidRPr="00760175">
        <w:rPr>
          <w:sz w:val="20"/>
          <w:lang w:eastAsia="ko-KR"/>
        </w:rPr>
        <w:fldChar w:fldCharType="begin"/>
      </w:r>
      <w:r w:rsidR="00FA4DC0" w:rsidRPr="00760175">
        <w:rPr>
          <w:sz w:val="20"/>
          <w:lang w:eastAsia="ko-KR"/>
        </w:rPr>
        <w:instrText xml:space="preserve"> REF _Ref197618959 \r \h </w:instrText>
      </w:r>
      <w:r w:rsidR="009A7712" w:rsidRPr="00760175">
        <w:rPr>
          <w:sz w:val="20"/>
          <w:lang w:eastAsia="ko-KR"/>
        </w:rPr>
        <w:instrText xml:space="preserve"> \* MERGEFORMAT </w:instrText>
      </w:r>
      <w:r w:rsidR="00FA4DC0" w:rsidRPr="00760175">
        <w:rPr>
          <w:sz w:val="20"/>
          <w:lang w:eastAsia="ko-KR"/>
        </w:rPr>
      </w:r>
      <w:r w:rsidR="00FA4DC0" w:rsidRPr="00760175">
        <w:rPr>
          <w:sz w:val="20"/>
          <w:lang w:eastAsia="ko-KR"/>
        </w:rPr>
        <w:fldChar w:fldCharType="separate"/>
      </w:r>
      <w:r w:rsidR="00FA4DC0" w:rsidRPr="00760175">
        <w:rPr>
          <w:sz w:val="20"/>
          <w:lang w:eastAsia="ko-KR"/>
        </w:rPr>
        <w:t>[2]</w:t>
      </w:r>
      <w:r w:rsidR="00FA4DC0" w:rsidRPr="00760175">
        <w:rPr>
          <w:sz w:val="20"/>
          <w:lang w:eastAsia="ko-KR"/>
        </w:rPr>
        <w:fldChar w:fldCharType="end"/>
      </w:r>
    </w:p>
    <w:p w14:paraId="365D7713" w14:textId="77777777" w:rsidR="003012DB" w:rsidRPr="00760175" w:rsidRDefault="003012DB" w:rsidP="004B7D32">
      <w:pPr>
        <w:pStyle w:val="ListParagraph"/>
        <w:numPr>
          <w:ilvl w:val="0"/>
          <w:numId w:val="33"/>
        </w:numPr>
        <w:ind w:leftChars="0"/>
        <w:rPr>
          <w:sz w:val="20"/>
          <w:lang w:eastAsia="ko-KR"/>
        </w:rPr>
      </w:pPr>
      <w:r w:rsidRPr="00760175">
        <w:rPr>
          <w:sz w:val="20"/>
          <w:lang w:eastAsia="ko-KR"/>
        </w:rPr>
        <w:t xml:space="preserve">the support of cancelling measurement skipping </w:t>
      </w:r>
    </w:p>
    <w:p w14:paraId="77F7E53F" w14:textId="77777777" w:rsidR="0065363C" w:rsidRDefault="003012DB" w:rsidP="003012DB">
      <w:pPr>
        <w:rPr>
          <w:rFonts w:ascii="Times New Roman" w:hAnsi="Times New Roman" w:cs="Times New Roman"/>
          <w:sz w:val="20"/>
          <w:szCs w:val="20"/>
          <w:lang w:eastAsia="ko-KR"/>
        </w:rPr>
      </w:pPr>
      <w:r w:rsidRPr="00760175">
        <w:rPr>
          <w:rFonts w:ascii="Times New Roman" w:hAnsi="Times New Roman" w:cs="Times New Roman"/>
          <w:sz w:val="20"/>
          <w:szCs w:val="20"/>
          <w:lang w:eastAsia="ko-KR"/>
        </w:rPr>
        <w:t>Additionally, RAN</w:t>
      </w:r>
      <w:r w:rsidR="00DB707A" w:rsidRPr="00760175">
        <w:rPr>
          <w:rFonts w:ascii="Times New Roman" w:hAnsi="Times New Roman" w:cs="Times New Roman"/>
          <w:sz w:val="20"/>
          <w:szCs w:val="20"/>
          <w:lang w:eastAsia="ko-KR"/>
        </w:rPr>
        <w:t xml:space="preserve">4 already indicated in LS to RAN2 that UAI reporting related to measurement occasions is optional UE feature </w:t>
      </w:r>
      <w:r w:rsidR="00FA4DC0" w:rsidRPr="00760175">
        <w:rPr>
          <w:rFonts w:ascii="Times New Roman" w:hAnsi="Times New Roman" w:cs="Times New Roman"/>
          <w:sz w:val="20"/>
          <w:szCs w:val="20"/>
          <w:lang w:eastAsia="ko-KR"/>
        </w:rPr>
        <w:fldChar w:fldCharType="begin"/>
      </w:r>
      <w:r w:rsidR="00FA4DC0" w:rsidRPr="00760175">
        <w:rPr>
          <w:rFonts w:ascii="Times New Roman" w:hAnsi="Times New Roman" w:cs="Times New Roman"/>
          <w:sz w:val="20"/>
          <w:szCs w:val="20"/>
          <w:lang w:eastAsia="ko-KR"/>
        </w:rPr>
        <w:instrText xml:space="preserve"> REF _Ref197618955 \r \h </w:instrText>
      </w:r>
      <w:r w:rsidR="009A7712" w:rsidRPr="00760175">
        <w:rPr>
          <w:rFonts w:ascii="Times New Roman" w:hAnsi="Times New Roman" w:cs="Times New Roman"/>
          <w:sz w:val="20"/>
          <w:szCs w:val="20"/>
          <w:lang w:eastAsia="ko-KR"/>
        </w:rPr>
        <w:instrText xml:space="preserve"> \* MERGEFORMAT </w:instrText>
      </w:r>
      <w:r w:rsidR="00FA4DC0" w:rsidRPr="00760175">
        <w:rPr>
          <w:rFonts w:ascii="Times New Roman" w:hAnsi="Times New Roman" w:cs="Times New Roman"/>
          <w:sz w:val="20"/>
          <w:szCs w:val="20"/>
          <w:lang w:eastAsia="ko-KR"/>
        </w:rPr>
      </w:r>
      <w:r w:rsidR="00FA4DC0" w:rsidRPr="00760175">
        <w:rPr>
          <w:rFonts w:ascii="Times New Roman" w:hAnsi="Times New Roman" w:cs="Times New Roman"/>
          <w:sz w:val="20"/>
          <w:szCs w:val="20"/>
          <w:lang w:eastAsia="ko-KR"/>
        </w:rPr>
        <w:fldChar w:fldCharType="separate"/>
      </w:r>
      <w:r w:rsidR="00FA4DC0" w:rsidRPr="00760175">
        <w:rPr>
          <w:rFonts w:ascii="Times New Roman" w:hAnsi="Times New Roman" w:cs="Times New Roman"/>
          <w:sz w:val="20"/>
          <w:szCs w:val="20"/>
          <w:lang w:eastAsia="ko-KR"/>
        </w:rPr>
        <w:t>[3]</w:t>
      </w:r>
      <w:r w:rsidR="00FA4DC0" w:rsidRPr="00760175">
        <w:rPr>
          <w:rFonts w:ascii="Times New Roman" w:hAnsi="Times New Roman" w:cs="Times New Roman"/>
          <w:sz w:val="20"/>
          <w:szCs w:val="20"/>
          <w:lang w:eastAsia="ko-KR"/>
        </w:rPr>
        <w:fldChar w:fldCharType="end"/>
      </w:r>
      <w:r w:rsidR="00075BEF">
        <w:rPr>
          <w:rFonts w:ascii="Times New Roman" w:hAnsi="Times New Roman" w:cs="Times New Roman"/>
          <w:sz w:val="20"/>
          <w:szCs w:val="20"/>
          <w:lang w:eastAsia="ko-KR"/>
        </w:rPr>
        <w:t xml:space="preserve">, and RAN2 is discussing whether RAN4 or RAN2 defines the UE feature for </w:t>
      </w:r>
      <w:r w:rsidR="0065363C">
        <w:rPr>
          <w:rFonts w:ascii="Times New Roman" w:hAnsi="Times New Roman" w:cs="Times New Roman"/>
          <w:sz w:val="20"/>
          <w:szCs w:val="20"/>
          <w:lang w:eastAsia="ko-KR"/>
        </w:rPr>
        <w:t xml:space="preserve">UAI reporting. </w:t>
      </w:r>
    </w:p>
    <w:p w14:paraId="55932F69" w14:textId="7425BCE5" w:rsidR="00FA4DC0" w:rsidRPr="00760175" w:rsidRDefault="0065363C" w:rsidP="003012DB">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Therefore, RAN4 should decide whether to define </w:t>
      </w:r>
      <w:proofErr w:type="gramStart"/>
      <w:r>
        <w:rPr>
          <w:rFonts w:ascii="Times New Roman" w:hAnsi="Times New Roman" w:cs="Times New Roman"/>
          <w:sz w:val="20"/>
          <w:szCs w:val="20"/>
          <w:lang w:eastAsia="ko-KR"/>
        </w:rPr>
        <w:t>feature</w:t>
      </w:r>
      <w:proofErr w:type="gramEnd"/>
      <w:r>
        <w:rPr>
          <w:rFonts w:ascii="Times New Roman" w:hAnsi="Times New Roman" w:cs="Times New Roman"/>
          <w:sz w:val="20"/>
          <w:szCs w:val="20"/>
          <w:lang w:eastAsia="ko-KR"/>
        </w:rPr>
        <w:t xml:space="preserve"> for UAI reporting of measurement occasions, and whether other features also need to be introduced. </w:t>
      </w:r>
      <w:r w:rsidR="00FA4DC0" w:rsidRPr="00760175">
        <w:rPr>
          <w:rFonts w:ascii="Times New Roman" w:hAnsi="Times New Roman" w:cs="Times New Roman"/>
          <w:sz w:val="20"/>
          <w:szCs w:val="20"/>
          <w:lang w:eastAsia="ko-KR"/>
        </w:rPr>
        <w:t xml:space="preserve"> </w:t>
      </w:r>
    </w:p>
    <w:p w14:paraId="1C4C4084" w14:textId="77777777" w:rsidR="003A1341" w:rsidRPr="00760175" w:rsidRDefault="003A1341" w:rsidP="003012DB">
      <w:pPr>
        <w:rPr>
          <w:sz w:val="20"/>
          <w:szCs w:val="20"/>
          <w:lang w:eastAsia="ko-KR"/>
        </w:rPr>
      </w:pPr>
    </w:p>
    <w:p w14:paraId="0CB74C36" w14:textId="01E08FE5" w:rsidR="003A1341" w:rsidRPr="00102121" w:rsidRDefault="0065363C" w:rsidP="003012DB">
      <w:pPr>
        <w:pStyle w:val="RAN4proposal"/>
        <w:rPr>
          <w:szCs w:val="20"/>
        </w:rPr>
      </w:pPr>
      <w:bookmarkStart w:id="3" w:name="_Toc197603671"/>
      <w:r>
        <w:rPr>
          <w:szCs w:val="20"/>
        </w:rPr>
        <w:t xml:space="preserve">Define new UE capability for </w:t>
      </w:r>
      <w:r w:rsidR="004F48CE">
        <w:rPr>
          <w:szCs w:val="20"/>
        </w:rPr>
        <w:t>UAI reporting of measurement occasions</w:t>
      </w:r>
      <w:proofErr w:type="gramStart"/>
      <w:r w:rsidR="004F48CE">
        <w:rPr>
          <w:szCs w:val="20"/>
        </w:rPr>
        <w:t xml:space="preserve">. </w:t>
      </w:r>
      <w:r w:rsidR="00EF48CF" w:rsidRPr="00760175">
        <w:rPr>
          <w:szCs w:val="20"/>
        </w:rPr>
        <w:t>.</w:t>
      </w:r>
      <w:proofErr w:type="gramEnd"/>
      <w:r w:rsidR="00EF48CF" w:rsidRPr="00760175">
        <w:rPr>
          <w:szCs w:val="20"/>
        </w:rPr>
        <w:t xml:space="preserve"> </w:t>
      </w:r>
      <w:bookmarkEnd w:id="3"/>
    </w:p>
    <w:p w14:paraId="30C5CC9A" w14:textId="77777777" w:rsidR="00220892" w:rsidRPr="006818C3" w:rsidRDefault="00220892" w:rsidP="00A11A7A">
      <w:pPr>
        <w:rPr>
          <w:lang w:val="en-GB" w:eastAsia="ko-KR"/>
        </w:rPr>
      </w:pPr>
    </w:p>
    <w:p w14:paraId="01F39024" w14:textId="44B84048" w:rsidR="006818C3" w:rsidRPr="00760175" w:rsidRDefault="006818C3" w:rsidP="006818C3">
      <w:pPr>
        <w:rPr>
          <w:rFonts w:ascii="Times New Roman" w:hAnsi="Times New Roman" w:cs="Times New Roman"/>
          <w:sz w:val="20"/>
          <w:szCs w:val="20"/>
          <w:lang w:eastAsia="ko-KR"/>
        </w:rPr>
      </w:pPr>
      <w:r>
        <w:rPr>
          <w:rFonts w:ascii="Times New Roman" w:hAnsi="Times New Roman" w:cs="Times New Roman"/>
          <w:sz w:val="20"/>
          <w:szCs w:val="20"/>
          <w:lang w:eastAsia="ko-KR"/>
        </w:rPr>
        <w:t>The proposed UE capability is as follows:</w:t>
      </w:r>
      <w:r w:rsidRPr="00760175">
        <w:rPr>
          <w:rFonts w:ascii="Times New Roman" w:hAnsi="Times New Roman" w:cs="Times New Roman"/>
          <w:sz w:val="20"/>
          <w:szCs w:val="20"/>
          <w:lang w:eastAsia="ko-KR"/>
        </w:rPr>
        <w:t xml:space="preserve"> </w:t>
      </w:r>
    </w:p>
    <w:p w14:paraId="698FC801" w14:textId="77777777" w:rsidR="00220892" w:rsidRDefault="00220892" w:rsidP="00A11A7A">
      <w:pPr>
        <w:rPr>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20892" w:rsidRPr="00F218D2" w14:paraId="2AF5DB18" w14:textId="77777777" w:rsidTr="00EC6393">
        <w:trPr>
          <w:trHeight w:val="20"/>
        </w:trPr>
        <w:tc>
          <w:tcPr>
            <w:tcW w:w="2037" w:type="dxa"/>
            <w:shd w:val="clear" w:color="auto" w:fill="auto"/>
          </w:tcPr>
          <w:p w14:paraId="473EDB2D"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516B1D72"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15557EED"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BF2FBC7" w14:textId="77777777" w:rsidR="00220892" w:rsidRPr="00F218D2" w:rsidRDefault="00220892" w:rsidP="00EC6393">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3B1C52F" w14:textId="77777777" w:rsidR="00220892" w:rsidRPr="00F218D2" w:rsidRDefault="00220892" w:rsidP="00EC6393">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5E63EEA"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7D08829A"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4A8747DA"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42DC646A" w14:textId="77777777" w:rsidR="00220892" w:rsidRPr="00F218D2" w:rsidRDefault="00220892" w:rsidP="00EC6393">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1C0517C4" w14:textId="77777777" w:rsidR="00220892" w:rsidRPr="00F218D2" w:rsidRDefault="00220892" w:rsidP="00EC6393">
            <w:pPr>
              <w:keepNext/>
              <w:keepLines/>
              <w:rPr>
                <w:rFonts w:ascii="Arial" w:hAnsi="Arial" w:cs="Arial"/>
                <w:b/>
                <w:sz w:val="18"/>
              </w:rPr>
            </w:pPr>
            <w:r w:rsidRPr="00F218D2">
              <w:rPr>
                <w:rFonts w:ascii="Arial" w:hAnsi="Arial" w:cs="Arial"/>
                <w:b/>
                <w:sz w:val="18"/>
              </w:rPr>
              <w:t>Type</w:t>
            </w:r>
          </w:p>
          <w:p w14:paraId="0A6D8B34" w14:textId="77777777" w:rsidR="00220892" w:rsidRPr="00F218D2" w:rsidRDefault="00220892" w:rsidP="00EC6393">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820AEE"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2EA196A"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29DDBFE4"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B175323"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8DD403B" w14:textId="77777777" w:rsidR="00220892" w:rsidRPr="00F218D2" w:rsidRDefault="00220892" w:rsidP="00EC639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20892" w:rsidRPr="00F218D2" w14:paraId="7E411694" w14:textId="77777777" w:rsidTr="00EC6393">
        <w:trPr>
          <w:trHeight w:val="20"/>
        </w:trPr>
        <w:tc>
          <w:tcPr>
            <w:tcW w:w="2037" w:type="dxa"/>
            <w:shd w:val="clear" w:color="auto" w:fill="auto"/>
          </w:tcPr>
          <w:p w14:paraId="34E30262" w14:textId="77777777" w:rsidR="00220892" w:rsidRPr="00A543A5" w:rsidRDefault="00220892" w:rsidP="00EC6393">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03DF3B34" w14:textId="77777777" w:rsidR="00220892" w:rsidRPr="00841A0F" w:rsidRDefault="00220892" w:rsidP="00EC6393">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57-1</w:t>
            </w:r>
          </w:p>
        </w:tc>
        <w:tc>
          <w:tcPr>
            <w:tcW w:w="1327" w:type="dxa"/>
            <w:shd w:val="clear" w:color="auto" w:fill="auto"/>
          </w:tcPr>
          <w:p w14:paraId="25EEE5F3" w14:textId="40BDE69D" w:rsidR="00220892" w:rsidRPr="006B6A92" w:rsidRDefault="007870B4" w:rsidP="00EC6393">
            <w:pPr>
              <w:keepNext/>
              <w:keepLines/>
              <w:overflowPunct w:val="0"/>
              <w:autoSpaceDE w:val="0"/>
              <w:autoSpaceDN w:val="0"/>
              <w:adjustRightInd w:val="0"/>
              <w:textAlignment w:val="baseline"/>
              <w:rPr>
                <w:rFonts w:ascii="Arial" w:hAnsi="Arial" w:cs="Arial"/>
                <w:sz w:val="18"/>
                <w:highlight w:val="yellow"/>
              </w:rPr>
            </w:pPr>
            <w:r w:rsidRPr="006B6A92">
              <w:rPr>
                <w:rFonts w:ascii="Arial" w:hAnsi="Arial" w:cs="Arial"/>
                <w:sz w:val="18"/>
                <w:highlight w:val="yellow"/>
              </w:rPr>
              <w:t>R</w:t>
            </w:r>
            <w:r w:rsidR="0012566C" w:rsidRPr="006B6A92">
              <w:rPr>
                <w:rFonts w:ascii="Arial" w:hAnsi="Arial" w:cs="Arial"/>
                <w:sz w:val="18"/>
                <w:highlight w:val="yellow"/>
              </w:rPr>
              <w:t xml:space="preserve">ecommended </w:t>
            </w:r>
            <w:r w:rsidR="00B82099" w:rsidRPr="006B6A92">
              <w:rPr>
                <w:rFonts w:ascii="Arial" w:hAnsi="Arial" w:cs="Arial"/>
                <w:sz w:val="18"/>
                <w:highlight w:val="yellow"/>
              </w:rPr>
              <w:t>ratio of gap occasions for cancelation</w:t>
            </w:r>
            <w:r w:rsidRPr="006B6A92">
              <w:rPr>
                <w:rFonts w:ascii="Arial" w:hAnsi="Arial" w:cs="Arial"/>
                <w:sz w:val="18"/>
                <w:highlight w:val="yellow"/>
              </w:rPr>
              <w:t xml:space="preserve"> report</w:t>
            </w:r>
            <w:r w:rsidR="00FE1A3F" w:rsidRPr="006B6A92">
              <w:rPr>
                <w:rFonts w:ascii="Arial" w:hAnsi="Arial" w:cs="Arial"/>
                <w:sz w:val="18"/>
                <w:highlight w:val="yellow"/>
              </w:rPr>
              <w:t xml:space="preserve">. </w:t>
            </w:r>
          </w:p>
        </w:tc>
        <w:tc>
          <w:tcPr>
            <w:tcW w:w="3835" w:type="dxa"/>
            <w:shd w:val="clear" w:color="auto" w:fill="auto"/>
          </w:tcPr>
          <w:p w14:paraId="58F86D9F" w14:textId="755392AD" w:rsidR="00220892" w:rsidRPr="006B6A92" w:rsidRDefault="004C2791" w:rsidP="00EC6393">
            <w:pPr>
              <w:keepNext/>
              <w:keepLines/>
              <w:overflowPunct w:val="0"/>
              <w:autoSpaceDE w:val="0"/>
              <w:autoSpaceDN w:val="0"/>
              <w:adjustRightInd w:val="0"/>
              <w:textAlignment w:val="baseline"/>
              <w:rPr>
                <w:rFonts w:ascii="Arial" w:hAnsi="Arial" w:cs="Arial"/>
                <w:sz w:val="18"/>
                <w:highlight w:val="yellow"/>
              </w:rPr>
            </w:pPr>
            <w:r w:rsidRPr="006B6A92">
              <w:rPr>
                <w:rFonts w:ascii="Arial" w:hAnsi="Arial" w:cs="Arial"/>
                <w:sz w:val="18"/>
                <w:highlight w:val="yellow"/>
              </w:rPr>
              <w:t xml:space="preserve">Indicates the UE is capable of reporting </w:t>
            </w:r>
            <w:r w:rsidR="00D051B5" w:rsidRPr="006B6A92">
              <w:rPr>
                <w:rFonts w:ascii="Arial" w:hAnsi="Arial" w:cs="Arial"/>
                <w:sz w:val="18"/>
                <w:highlight w:val="yellow"/>
              </w:rPr>
              <w:t>recommended ratio of measurement gap occasions for cancel</w:t>
            </w:r>
            <w:r w:rsidR="00641424" w:rsidRPr="006B6A92">
              <w:rPr>
                <w:rFonts w:ascii="Arial" w:hAnsi="Arial" w:cs="Arial"/>
                <w:sz w:val="18"/>
                <w:highlight w:val="yellow"/>
              </w:rPr>
              <w:t xml:space="preserve">ation. </w:t>
            </w:r>
          </w:p>
        </w:tc>
        <w:tc>
          <w:tcPr>
            <w:tcW w:w="1458" w:type="dxa"/>
            <w:shd w:val="clear" w:color="auto" w:fill="auto"/>
          </w:tcPr>
          <w:p w14:paraId="4D925E81" w14:textId="3401946C" w:rsidR="00220892" w:rsidRPr="006B6A92" w:rsidRDefault="00FE1A3F" w:rsidP="00EC6393">
            <w:pPr>
              <w:keepNext/>
              <w:keepLines/>
              <w:overflowPunct w:val="0"/>
              <w:autoSpaceDE w:val="0"/>
              <w:autoSpaceDN w:val="0"/>
              <w:adjustRightInd w:val="0"/>
              <w:jc w:val="center"/>
              <w:textAlignment w:val="baseline"/>
              <w:rPr>
                <w:rFonts w:ascii="Arial" w:eastAsia="Times New Roman" w:hAnsi="Arial" w:cs="Arial"/>
                <w:b/>
                <w:sz w:val="18"/>
                <w:highlight w:val="yellow"/>
              </w:rPr>
            </w:pPr>
            <w:r w:rsidRPr="006B6A92">
              <w:rPr>
                <w:rFonts w:ascii="Arial" w:eastAsia="Times New Roman" w:hAnsi="Arial" w:cs="Arial"/>
                <w:b/>
                <w:sz w:val="18"/>
                <w:highlight w:val="yellow"/>
              </w:rPr>
              <w:t>64-1</w:t>
            </w:r>
          </w:p>
        </w:tc>
        <w:tc>
          <w:tcPr>
            <w:tcW w:w="1121" w:type="dxa"/>
            <w:shd w:val="clear" w:color="auto" w:fill="auto"/>
          </w:tcPr>
          <w:p w14:paraId="03404A5E" w14:textId="78C6010E" w:rsidR="00220892" w:rsidRPr="006B6A92" w:rsidRDefault="00FE1A3F" w:rsidP="00EC6393">
            <w:pPr>
              <w:keepNext/>
              <w:keepLines/>
              <w:overflowPunct w:val="0"/>
              <w:autoSpaceDE w:val="0"/>
              <w:autoSpaceDN w:val="0"/>
              <w:adjustRightInd w:val="0"/>
              <w:jc w:val="center"/>
              <w:textAlignment w:val="baseline"/>
              <w:rPr>
                <w:rFonts w:ascii="Arial" w:hAnsi="Arial" w:cs="Arial"/>
                <w:sz w:val="18"/>
                <w:highlight w:val="yellow"/>
              </w:rPr>
            </w:pPr>
            <w:r w:rsidRPr="006B6A92">
              <w:rPr>
                <w:rFonts w:ascii="Arial" w:hAnsi="Arial" w:cs="Arial"/>
                <w:sz w:val="18"/>
                <w:highlight w:val="yellow"/>
              </w:rPr>
              <w:t>yes</w:t>
            </w:r>
          </w:p>
        </w:tc>
        <w:tc>
          <w:tcPr>
            <w:tcW w:w="1414" w:type="dxa"/>
            <w:shd w:val="clear" w:color="auto" w:fill="auto"/>
          </w:tcPr>
          <w:p w14:paraId="5471A0E9" w14:textId="3E446CD4" w:rsidR="00220892" w:rsidRPr="006B6A92" w:rsidRDefault="00AC4509" w:rsidP="00EC6393">
            <w:pPr>
              <w:keepNext/>
              <w:keepLines/>
              <w:overflowPunct w:val="0"/>
              <w:autoSpaceDE w:val="0"/>
              <w:autoSpaceDN w:val="0"/>
              <w:adjustRightInd w:val="0"/>
              <w:jc w:val="center"/>
              <w:textAlignment w:val="baseline"/>
              <w:rPr>
                <w:rFonts w:ascii="Arial" w:eastAsia="Gulim" w:hAnsi="Arial" w:cs="Arial"/>
                <w:b/>
                <w:sz w:val="18"/>
                <w:highlight w:val="yellow"/>
              </w:rPr>
            </w:pPr>
            <w:r w:rsidRPr="006B6A92">
              <w:rPr>
                <w:rFonts w:ascii="Arial" w:eastAsia="Gulim" w:hAnsi="Arial" w:cs="Arial"/>
                <w:b/>
                <w:sz w:val="18"/>
                <w:highlight w:val="yellow"/>
              </w:rPr>
              <w:t>n/a</w:t>
            </w:r>
          </w:p>
        </w:tc>
        <w:tc>
          <w:tcPr>
            <w:tcW w:w="1410" w:type="dxa"/>
          </w:tcPr>
          <w:p w14:paraId="2636DD4B" w14:textId="2EAE5536" w:rsidR="00220892" w:rsidRPr="006B6A92" w:rsidRDefault="00AC4509" w:rsidP="00EC6393">
            <w:pPr>
              <w:keepNext/>
              <w:keepLines/>
              <w:rPr>
                <w:rFonts w:ascii="Arial" w:hAnsi="Arial" w:cs="Arial"/>
                <w:sz w:val="18"/>
                <w:highlight w:val="yellow"/>
              </w:rPr>
            </w:pPr>
            <w:r w:rsidRPr="006B6A92">
              <w:rPr>
                <w:rFonts w:ascii="Arial" w:hAnsi="Arial" w:cs="Arial"/>
                <w:sz w:val="18"/>
                <w:highlight w:val="yellow"/>
              </w:rPr>
              <w:t>The UE does not support reporting recommended ratio for gap cancelation</w:t>
            </w:r>
          </w:p>
        </w:tc>
        <w:tc>
          <w:tcPr>
            <w:tcW w:w="1232" w:type="dxa"/>
            <w:shd w:val="clear" w:color="auto" w:fill="auto"/>
          </w:tcPr>
          <w:p w14:paraId="21D45E24" w14:textId="3957BEF1" w:rsidR="00220892" w:rsidRPr="006B6A92" w:rsidRDefault="00AC4509" w:rsidP="00EC6393">
            <w:pPr>
              <w:keepNext/>
              <w:keepLines/>
              <w:rPr>
                <w:rFonts w:ascii="Arial" w:hAnsi="Arial" w:cs="Arial"/>
                <w:sz w:val="18"/>
                <w:highlight w:val="yellow"/>
              </w:rPr>
            </w:pPr>
            <w:r w:rsidRPr="006B6A92">
              <w:rPr>
                <w:rFonts w:ascii="Arial" w:hAnsi="Arial" w:cs="Arial"/>
                <w:sz w:val="18"/>
                <w:highlight w:val="yellow"/>
              </w:rPr>
              <w:t>Per UE</w:t>
            </w:r>
          </w:p>
        </w:tc>
        <w:tc>
          <w:tcPr>
            <w:tcW w:w="1416" w:type="dxa"/>
            <w:shd w:val="clear" w:color="auto" w:fill="auto"/>
          </w:tcPr>
          <w:p w14:paraId="6B2C4106" w14:textId="6D3E661C" w:rsidR="00220892" w:rsidRPr="006B6A92" w:rsidRDefault="006D7D7C" w:rsidP="00EC6393">
            <w:pPr>
              <w:keepNext/>
              <w:keepLines/>
              <w:overflowPunct w:val="0"/>
              <w:autoSpaceDE w:val="0"/>
              <w:autoSpaceDN w:val="0"/>
              <w:adjustRightInd w:val="0"/>
              <w:jc w:val="center"/>
              <w:textAlignment w:val="baseline"/>
              <w:rPr>
                <w:rFonts w:ascii="Arial" w:hAnsi="Arial" w:cs="Arial"/>
                <w:sz w:val="18"/>
                <w:highlight w:val="yellow"/>
              </w:rPr>
            </w:pPr>
            <w:r w:rsidRPr="006B6A92">
              <w:rPr>
                <w:rFonts w:ascii="Arial" w:hAnsi="Arial" w:cs="Arial"/>
                <w:sz w:val="18"/>
                <w:highlight w:val="yellow"/>
              </w:rPr>
              <w:t>no</w:t>
            </w:r>
          </w:p>
        </w:tc>
        <w:tc>
          <w:tcPr>
            <w:tcW w:w="1416" w:type="dxa"/>
            <w:shd w:val="clear" w:color="auto" w:fill="auto"/>
          </w:tcPr>
          <w:p w14:paraId="1BC77AFE" w14:textId="6F8E0F22" w:rsidR="00220892" w:rsidRPr="006B6A92" w:rsidRDefault="006D7D7C" w:rsidP="00EC6393">
            <w:pPr>
              <w:keepNext/>
              <w:keepLines/>
              <w:overflowPunct w:val="0"/>
              <w:autoSpaceDE w:val="0"/>
              <w:autoSpaceDN w:val="0"/>
              <w:adjustRightInd w:val="0"/>
              <w:jc w:val="center"/>
              <w:textAlignment w:val="baseline"/>
              <w:rPr>
                <w:rFonts w:ascii="Arial" w:hAnsi="Arial" w:cs="Arial"/>
                <w:sz w:val="18"/>
                <w:highlight w:val="yellow"/>
              </w:rPr>
            </w:pPr>
            <w:r w:rsidRPr="006B6A92">
              <w:rPr>
                <w:rFonts w:ascii="Arial" w:hAnsi="Arial" w:cs="Arial"/>
                <w:sz w:val="18"/>
                <w:highlight w:val="yellow"/>
              </w:rPr>
              <w:t>no</w:t>
            </w:r>
          </w:p>
        </w:tc>
        <w:tc>
          <w:tcPr>
            <w:tcW w:w="1686" w:type="dxa"/>
          </w:tcPr>
          <w:p w14:paraId="4EC626D5" w14:textId="77777777" w:rsidR="00220892" w:rsidRPr="006B6A92" w:rsidRDefault="00220892" w:rsidP="00EC6393">
            <w:pPr>
              <w:keepNext/>
              <w:keepLines/>
              <w:overflowPunct w:val="0"/>
              <w:autoSpaceDE w:val="0"/>
              <w:autoSpaceDN w:val="0"/>
              <w:adjustRightInd w:val="0"/>
              <w:jc w:val="center"/>
              <w:textAlignment w:val="baseline"/>
              <w:rPr>
                <w:rFonts w:ascii="Arial" w:eastAsia="Times New Roman" w:hAnsi="Arial" w:cs="Arial"/>
                <w:b/>
                <w:sz w:val="18"/>
                <w:highlight w:val="yellow"/>
              </w:rPr>
            </w:pPr>
          </w:p>
        </w:tc>
        <w:tc>
          <w:tcPr>
            <w:tcW w:w="1432" w:type="dxa"/>
            <w:shd w:val="clear" w:color="auto" w:fill="auto"/>
          </w:tcPr>
          <w:p w14:paraId="22CC9AF0" w14:textId="77777777" w:rsidR="00220892" w:rsidRPr="006B6A92" w:rsidRDefault="00220892" w:rsidP="00EC6393">
            <w:pPr>
              <w:keepNext/>
              <w:keepLines/>
              <w:overflowPunct w:val="0"/>
              <w:autoSpaceDE w:val="0"/>
              <w:autoSpaceDN w:val="0"/>
              <w:adjustRightInd w:val="0"/>
              <w:jc w:val="center"/>
              <w:textAlignment w:val="baseline"/>
              <w:rPr>
                <w:rFonts w:ascii="Arial" w:eastAsia="Times New Roman" w:hAnsi="Arial" w:cs="Arial"/>
                <w:b/>
                <w:sz w:val="18"/>
                <w:highlight w:val="yellow"/>
              </w:rPr>
            </w:pPr>
          </w:p>
        </w:tc>
        <w:tc>
          <w:tcPr>
            <w:tcW w:w="1906" w:type="dxa"/>
            <w:shd w:val="clear" w:color="auto" w:fill="auto"/>
          </w:tcPr>
          <w:p w14:paraId="19B08925" w14:textId="77777777" w:rsidR="00181664" w:rsidRPr="006B6A92" w:rsidRDefault="00181664" w:rsidP="00181664">
            <w:pPr>
              <w:pStyle w:val="TAL"/>
              <w:rPr>
                <w:rFonts w:asciiTheme="majorHAnsi" w:eastAsia="SimSun" w:hAnsiTheme="majorHAnsi" w:cstheme="majorHAnsi"/>
                <w:color w:val="000000" w:themeColor="text1"/>
                <w:szCs w:val="18"/>
                <w:highlight w:val="yellow"/>
                <w:lang w:eastAsia="zh-CN"/>
              </w:rPr>
            </w:pPr>
            <w:r w:rsidRPr="006B6A92">
              <w:rPr>
                <w:rFonts w:asciiTheme="majorHAnsi" w:eastAsia="SimSun" w:hAnsiTheme="majorHAnsi" w:cstheme="majorHAnsi"/>
                <w:color w:val="000000" w:themeColor="text1"/>
                <w:szCs w:val="18"/>
                <w:highlight w:val="yellow"/>
                <w:lang w:eastAsia="zh-CN"/>
              </w:rPr>
              <w:t>Optional with capability signalling</w:t>
            </w:r>
          </w:p>
          <w:p w14:paraId="1E60AFB3" w14:textId="3A062B1B" w:rsidR="00220892" w:rsidRPr="006B6A92" w:rsidRDefault="00220892" w:rsidP="00EC6393">
            <w:pPr>
              <w:keepNext/>
              <w:keepLines/>
              <w:overflowPunct w:val="0"/>
              <w:autoSpaceDE w:val="0"/>
              <w:autoSpaceDN w:val="0"/>
              <w:adjustRightInd w:val="0"/>
              <w:jc w:val="center"/>
              <w:textAlignment w:val="baseline"/>
              <w:rPr>
                <w:rFonts w:ascii="Arial" w:hAnsi="Arial" w:cs="Arial"/>
                <w:sz w:val="18"/>
                <w:highlight w:val="yellow"/>
              </w:rPr>
            </w:pPr>
          </w:p>
        </w:tc>
      </w:tr>
    </w:tbl>
    <w:p w14:paraId="220C2095" w14:textId="77777777" w:rsidR="00220892" w:rsidRDefault="00220892" w:rsidP="00220892">
      <w:pPr>
        <w:rPr>
          <w:rFonts w:ascii="Arial" w:eastAsiaTheme="minorEastAsia" w:hAnsi="Arial" w:cs="Arial"/>
          <w:sz w:val="28"/>
          <w:szCs w:val="28"/>
        </w:rPr>
      </w:pPr>
    </w:p>
    <w:p w14:paraId="77D607FE" w14:textId="77777777" w:rsidR="00D640E7" w:rsidRDefault="00D640E7" w:rsidP="00DD0D67">
      <w:pPr>
        <w:rPr>
          <w:rFonts w:ascii="Arial" w:eastAsiaTheme="minorEastAsia" w:hAnsi="Arial" w:cs="Arial"/>
          <w:sz w:val="28"/>
          <w:szCs w:val="28"/>
        </w:rPr>
      </w:pPr>
    </w:p>
    <w:p w14:paraId="599C226C" w14:textId="77777777" w:rsidR="002B4D86" w:rsidRPr="008F786B" w:rsidRDefault="002B4D86" w:rsidP="002B4D86">
      <w:pPr>
        <w:pStyle w:val="RAN4H1"/>
        <w:numPr>
          <w:ilvl w:val="0"/>
          <w:numId w:val="0"/>
        </w:numPr>
        <w:ind w:left="360" w:hanging="360"/>
      </w:pPr>
      <w:r w:rsidRPr="008F786B">
        <w:lastRenderedPageBreak/>
        <w:t>References</w:t>
      </w:r>
    </w:p>
    <w:p w14:paraId="4250C598" w14:textId="32D3E3BD" w:rsidR="002B4D86" w:rsidRPr="00760175" w:rsidRDefault="00E82194" w:rsidP="002B4D86">
      <w:pPr>
        <w:pStyle w:val="ListParagraph"/>
        <w:numPr>
          <w:ilvl w:val="0"/>
          <w:numId w:val="32"/>
        </w:numPr>
        <w:spacing w:after="160" w:line="259" w:lineRule="auto"/>
        <w:ind w:leftChars="0" w:right="-22"/>
        <w:contextualSpacing/>
        <w:rPr>
          <w:sz w:val="20"/>
        </w:rPr>
      </w:pPr>
      <w:r w:rsidRPr="00760175">
        <w:rPr>
          <w:sz w:val="20"/>
        </w:rPr>
        <w:t xml:space="preserve">R1-2502977, </w:t>
      </w:r>
      <w:r w:rsidR="00CC36E2" w:rsidRPr="00760175">
        <w:rPr>
          <w:sz w:val="20"/>
        </w:rPr>
        <w:t xml:space="preserve">Updated RAN1 UE features list for Rel-19 NR after RAN1 #120bis, </w:t>
      </w:r>
      <w:r w:rsidR="00253A89" w:rsidRPr="00760175">
        <w:rPr>
          <w:sz w:val="20"/>
        </w:rPr>
        <w:t>AT&amp;T, NTT DOCOMO, INC.</w:t>
      </w:r>
    </w:p>
    <w:p w14:paraId="23D89E36" w14:textId="72063B56" w:rsidR="004B7D32" w:rsidRPr="00760175" w:rsidRDefault="004B7D32" w:rsidP="002B4D86">
      <w:pPr>
        <w:pStyle w:val="ListParagraph"/>
        <w:numPr>
          <w:ilvl w:val="0"/>
          <w:numId w:val="32"/>
        </w:numPr>
        <w:spacing w:after="160" w:line="259" w:lineRule="auto"/>
        <w:ind w:leftChars="0" w:right="-22"/>
        <w:contextualSpacing/>
        <w:rPr>
          <w:sz w:val="20"/>
        </w:rPr>
      </w:pPr>
      <w:bookmarkStart w:id="4" w:name="_Ref197618959"/>
      <w:r w:rsidRPr="00760175">
        <w:rPr>
          <w:sz w:val="20"/>
          <w:lang w:val="en-US"/>
        </w:rPr>
        <w:t>R4-2420198, Response LS on gaps/restrictions that are caused by RRM measurements, To: RAN1, cc: RAN2, Source: Qualcomm</w:t>
      </w:r>
      <w:bookmarkEnd w:id="4"/>
    </w:p>
    <w:p w14:paraId="51668BAD" w14:textId="5E5CA952" w:rsidR="00220892" w:rsidRPr="00760175" w:rsidRDefault="00E516ED" w:rsidP="002B4D86">
      <w:pPr>
        <w:pStyle w:val="ListParagraph"/>
        <w:numPr>
          <w:ilvl w:val="0"/>
          <w:numId w:val="32"/>
        </w:numPr>
        <w:spacing w:after="160" w:line="259" w:lineRule="auto"/>
        <w:ind w:leftChars="0" w:right="-22"/>
        <w:contextualSpacing/>
        <w:rPr>
          <w:sz w:val="20"/>
        </w:rPr>
      </w:pPr>
      <w:bookmarkStart w:id="5" w:name="_Ref197618955"/>
      <w:r w:rsidRPr="00760175">
        <w:rPr>
          <w:sz w:val="20"/>
          <w:lang w:val="en-US"/>
        </w:rPr>
        <w:t>R4-2504972, Reply LS on UE assistance information, Nokia</w:t>
      </w:r>
      <w:bookmarkEnd w:id="5"/>
    </w:p>
    <w:p w14:paraId="159AC6B0" w14:textId="429B4468" w:rsidR="000863CD" w:rsidRPr="002B4D86" w:rsidRDefault="000863CD" w:rsidP="000863CD">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GB" w:eastAsia="ko-KR"/>
        </w:rPr>
      </w:pPr>
    </w:p>
    <w:p w14:paraId="342B8C79" w14:textId="77777777" w:rsidR="000863CD" w:rsidRPr="00835623" w:rsidRDefault="000863CD" w:rsidP="000863CD">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p>
    <w:p w14:paraId="15BD2E02" w14:textId="77777777" w:rsidR="000863CD" w:rsidRDefault="000863CD" w:rsidP="00DD0D67">
      <w:pPr>
        <w:rPr>
          <w:rFonts w:ascii="Arial" w:eastAsiaTheme="minorEastAsia" w:hAnsi="Arial" w:cs="Arial"/>
          <w:sz w:val="28"/>
          <w:szCs w:val="28"/>
        </w:rPr>
      </w:pPr>
    </w:p>
    <w:sectPr w:rsidR="000863CD"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0B831" w14:textId="77777777" w:rsidR="000F706C" w:rsidRDefault="000F706C">
      <w:r>
        <w:separator/>
      </w:r>
    </w:p>
  </w:endnote>
  <w:endnote w:type="continuationSeparator" w:id="0">
    <w:p w14:paraId="55BDEEB4" w14:textId="77777777" w:rsidR="000F706C" w:rsidRDefault="000F706C">
      <w:r>
        <w:continuationSeparator/>
      </w:r>
    </w:p>
  </w:endnote>
  <w:endnote w:type="continuationNotice" w:id="1">
    <w:p w14:paraId="7F5346FD" w14:textId="77777777" w:rsidR="000F706C" w:rsidRDefault="000F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4B80" w14:textId="77777777" w:rsidR="000F706C" w:rsidRDefault="000F706C">
      <w:r>
        <w:separator/>
      </w:r>
    </w:p>
  </w:footnote>
  <w:footnote w:type="continuationSeparator" w:id="0">
    <w:p w14:paraId="7154A33A" w14:textId="77777777" w:rsidR="000F706C" w:rsidRDefault="000F706C">
      <w:r>
        <w:continuationSeparator/>
      </w:r>
    </w:p>
  </w:footnote>
  <w:footnote w:type="continuationNotice" w:id="1">
    <w:p w14:paraId="3E547F40" w14:textId="77777777" w:rsidR="000F706C" w:rsidRDefault="000F70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097061D"/>
    <w:multiLevelType w:val="hybridMultilevel"/>
    <w:tmpl w:val="57DE6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D6E3167"/>
    <w:multiLevelType w:val="hybridMultilevel"/>
    <w:tmpl w:val="E8F2546C"/>
    <w:lvl w:ilvl="0" w:tplc="14A2E64C">
      <w:start w:val="1"/>
      <w:numFmt w:val="decimal"/>
      <w:pStyle w:val="RAN4proposal"/>
      <w:suff w:val="space"/>
      <w:lvlText w:val="Proposal %1:"/>
      <w:lvlJc w:val="left"/>
      <w:pPr>
        <w:ind w:left="360" w:hanging="360"/>
      </w:pPr>
      <w:rPr>
        <w:rFonts w:ascii="Times New Roman" w:hAnsi="Times New Roman" w:hint="default"/>
        <w:b/>
        <w:i w:val="0"/>
        <w:color w:val="auto"/>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1"/>
  </w:num>
  <w:num w:numId="3" w16cid:durableId="1927228516">
    <w:abstractNumId w:val="22"/>
  </w:num>
  <w:num w:numId="4" w16cid:durableId="1768037186">
    <w:abstractNumId w:val="29"/>
  </w:num>
  <w:num w:numId="5" w16cid:durableId="1384452279">
    <w:abstractNumId w:val="9"/>
  </w:num>
  <w:num w:numId="6" w16cid:durableId="1816140671">
    <w:abstractNumId w:val="21"/>
  </w:num>
  <w:num w:numId="7" w16cid:durableId="1322154933">
    <w:abstractNumId w:val="13"/>
  </w:num>
  <w:num w:numId="8" w16cid:durableId="495002990">
    <w:abstractNumId w:val="27"/>
  </w:num>
  <w:num w:numId="9" w16cid:durableId="491987536">
    <w:abstractNumId w:val="2"/>
  </w:num>
  <w:num w:numId="10" w16cid:durableId="1430393280">
    <w:abstractNumId w:val="5"/>
  </w:num>
  <w:num w:numId="11" w16cid:durableId="126551121">
    <w:abstractNumId w:val="1"/>
  </w:num>
  <w:num w:numId="12" w16cid:durableId="51471669">
    <w:abstractNumId w:val="10"/>
  </w:num>
  <w:num w:numId="13" w16cid:durableId="1653096069">
    <w:abstractNumId w:val="0"/>
  </w:num>
  <w:num w:numId="14" w16cid:durableId="2017925755">
    <w:abstractNumId w:val="28"/>
  </w:num>
  <w:num w:numId="15" w16cid:durableId="1020548904">
    <w:abstractNumId w:val="20"/>
  </w:num>
  <w:num w:numId="16" w16cid:durableId="631057322">
    <w:abstractNumId w:val="25"/>
  </w:num>
  <w:num w:numId="17" w16cid:durableId="1185092144">
    <w:abstractNumId w:val="24"/>
  </w:num>
  <w:num w:numId="18" w16cid:durableId="544104056">
    <w:abstractNumId w:val="30"/>
  </w:num>
  <w:num w:numId="19" w16cid:durableId="760222035">
    <w:abstractNumId w:val="4"/>
  </w:num>
  <w:num w:numId="20" w16cid:durableId="1803041212">
    <w:abstractNumId w:val="18"/>
  </w:num>
  <w:num w:numId="21" w16cid:durableId="27412908">
    <w:abstractNumId w:val="26"/>
  </w:num>
  <w:num w:numId="22" w16cid:durableId="1010134775">
    <w:abstractNumId w:val="15"/>
  </w:num>
  <w:num w:numId="23" w16cid:durableId="3207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4"/>
  </w:num>
  <w:num w:numId="28" w16cid:durableId="2029136661">
    <w:abstractNumId w:val="6"/>
  </w:num>
  <w:num w:numId="29" w16cid:durableId="1068504610">
    <w:abstractNumId w:val="7"/>
  </w:num>
  <w:num w:numId="30" w16cid:durableId="309478867">
    <w:abstractNumId w:val="20"/>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6096507">
    <w:abstractNumId w:val="23"/>
  </w:num>
  <w:num w:numId="32" w16cid:durableId="1659071369">
    <w:abstractNumId w:val="19"/>
  </w:num>
  <w:num w:numId="33" w16cid:durableId="179200770">
    <w:abstractNumId w:val="8"/>
  </w:num>
  <w:num w:numId="34" w16cid:durableId="15665289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0F"/>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BEF"/>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3CD"/>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458"/>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121"/>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66C"/>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0FBA"/>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64"/>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72"/>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089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89"/>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D86"/>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33F"/>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2DB"/>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6EE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1341"/>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53B"/>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2C"/>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6A"/>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E33"/>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941"/>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D32"/>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791"/>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8CE"/>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071B"/>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424"/>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106"/>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63C"/>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BFC"/>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3"/>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A92"/>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D7D7C"/>
    <w:rsid w:val="006E023F"/>
    <w:rsid w:val="006E0242"/>
    <w:rsid w:val="006E0411"/>
    <w:rsid w:val="006E0E4E"/>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175"/>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0B4"/>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0F55"/>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623"/>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39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524"/>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793"/>
    <w:rsid w:val="008D3B32"/>
    <w:rsid w:val="008D4AAF"/>
    <w:rsid w:val="008D4AD9"/>
    <w:rsid w:val="008D4B36"/>
    <w:rsid w:val="008D4D56"/>
    <w:rsid w:val="008D4FB9"/>
    <w:rsid w:val="008D5204"/>
    <w:rsid w:val="008D5259"/>
    <w:rsid w:val="008D5845"/>
    <w:rsid w:val="008D5EA4"/>
    <w:rsid w:val="008D5F68"/>
    <w:rsid w:val="008D6301"/>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95"/>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12"/>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A7A"/>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25"/>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0C"/>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5691"/>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6A6"/>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41C"/>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509"/>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68"/>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3E16"/>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AC"/>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328"/>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099"/>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304"/>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645"/>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73"/>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6E2"/>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1B5"/>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79B"/>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07A"/>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BCB"/>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6ED"/>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194"/>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99A"/>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3E7"/>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8CF"/>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0FF1"/>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6EDE"/>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4DC0"/>
    <w:rsid w:val="00FA521E"/>
    <w:rsid w:val="00FA521F"/>
    <w:rsid w:val="00FA5634"/>
    <w:rsid w:val="00FA566D"/>
    <w:rsid w:val="00FA574F"/>
    <w:rsid w:val="00FA5912"/>
    <w:rsid w:val="00FA5D3A"/>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A3F"/>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4B7FE03"/>
    <w:rsid w:val="059525FC"/>
    <w:rsid w:val="0FD463AF"/>
    <w:rsid w:val="10AF312D"/>
    <w:rsid w:val="12AB4435"/>
    <w:rsid w:val="176D0E3F"/>
    <w:rsid w:val="197868C9"/>
    <w:rsid w:val="1AC82352"/>
    <w:rsid w:val="1EB61A0B"/>
    <w:rsid w:val="2F6D07E6"/>
    <w:rsid w:val="319C3C7C"/>
    <w:rsid w:val="31C31166"/>
    <w:rsid w:val="335C2048"/>
    <w:rsid w:val="3BB06AD9"/>
    <w:rsid w:val="3BEC3867"/>
    <w:rsid w:val="3F6B6380"/>
    <w:rsid w:val="47550BEB"/>
    <w:rsid w:val="4CAA6185"/>
    <w:rsid w:val="522E66D6"/>
    <w:rsid w:val="529A7F34"/>
    <w:rsid w:val="52B82A90"/>
    <w:rsid w:val="5B36508E"/>
    <w:rsid w:val="63A84484"/>
    <w:rsid w:val="63F25CA7"/>
    <w:rsid w:val="6689A9FD"/>
    <w:rsid w:val="67A02643"/>
    <w:rsid w:val="6A494081"/>
    <w:rsid w:val="6A9E708A"/>
    <w:rsid w:val="6BA86385"/>
    <w:rsid w:val="6DD80369"/>
    <w:rsid w:val="6E407F78"/>
    <w:rsid w:val="6F613F5E"/>
    <w:rsid w:val="70132190"/>
    <w:rsid w:val="714343C0"/>
    <w:rsid w:val="72121F15"/>
    <w:rsid w:val="75124337"/>
    <w:rsid w:val="751D49E2"/>
    <w:rsid w:val="787463DD"/>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FE"/>
    <w:rPr>
      <w:rFonts w:ascii="SimSun" w:eastAsia="SimSun" w:hAnsi="SimSun" w:cs="SimSun"/>
      <w:sz w:val="24"/>
      <w:szCs w:val="24"/>
      <w:lang w:eastAsia="zh-CN"/>
    </w:rPr>
  </w:style>
  <w:style w:type="paragraph" w:styleId="Heading1">
    <w:name w:val="heading 1"/>
    <w:basedOn w:val="Normal"/>
    <w:next w:val="Normal"/>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basedOn w:val="Normal"/>
    <w:next w:val="Normal"/>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 w:type="paragraph" w:customStyle="1" w:styleId="RAN4H2">
    <w:name w:val="RAN4 H2"/>
    <w:basedOn w:val="Heading2"/>
    <w:next w:val="Normal"/>
    <w:qFormat/>
    <w:rsid w:val="002B4D86"/>
    <w:pPr>
      <w:keepLines/>
      <w:numPr>
        <w:ilvl w:val="1"/>
        <w:numId w:val="31"/>
      </w:numPr>
      <w:spacing w:before="180" w:after="180" w:line="240" w:lineRule="auto"/>
      <w:ind w:left="431" w:hanging="431"/>
    </w:pPr>
    <w:rPr>
      <w:rFonts w:eastAsia="Times New Roman"/>
      <w:sz w:val="32"/>
      <w:lang w:eastAsia="en-US"/>
    </w:rPr>
  </w:style>
  <w:style w:type="paragraph" w:customStyle="1" w:styleId="RAN4H1">
    <w:name w:val="RAN4 H1"/>
    <w:basedOn w:val="Normal"/>
    <w:next w:val="Normal"/>
    <w:link w:val="RAN4H1Char"/>
    <w:qFormat/>
    <w:rsid w:val="002B4D86"/>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US"/>
    </w:rPr>
  </w:style>
  <w:style w:type="character" w:customStyle="1" w:styleId="RAN4H1Char">
    <w:name w:val="RAN4 H1 Char"/>
    <w:basedOn w:val="DefaultParagraphFont"/>
    <w:link w:val="RAN4H1"/>
    <w:rsid w:val="002B4D86"/>
    <w:rPr>
      <w:rFonts w:ascii="Arial" w:eastAsia="SimSun" w:hAnsi="Arial"/>
      <w:sz w:val="36"/>
      <w:lang w:val="en-GB" w:eastAsia="en-US"/>
    </w:rPr>
  </w:style>
  <w:style w:type="paragraph" w:customStyle="1" w:styleId="RAN4H3">
    <w:name w:val="RAN4 H3"/>
    <w:basedOn w:val="Normal"/>
    <w:qFormat/>
    <w:rsid w:val="002B4D86"/>
    <w:pPr>
      <w:numPr>
        <w:ilvl w:val="2"/>
        <w:numId w:val="31"/>
      </w:numPr>
      <w:spacing w:after="160" w:line="259" w:lineRule="auto"/>
      <w:ind w:left="505" w:hanging="505"/>
    </w:pPr>
    <w:rPr>
      <w:rFonts w:ascii="Arial" w:eastAsiaTheme="minorHAnsi" w:hAnsi="Arial" w:cs="Arial"/>
      <w:szCs w:val="22"/>
      <w:lang w:val="en-GB" w:eastAsia="en-US"/>
    </w:rPr>
  </w:style>
  <w:style w:type="paragraph" w:customStyle="1" w:styleId="RAN4proposal">
    <w:name w:val="RAN4 proposal"/>
    <w:basedOn w:val="Caption"/>
    <w:next w:val="Normal"/>
    <w:link w:val="RAN4proposalChar"/>
    <w:qFormat/>
    <w:rsid w:val="00034D0F"/>
    <w:pPr>
      <w:numPr>
        <w:numId w:val="34"/>
      </w:numPr>
      <w:spacing w:before="0" w:after="200"/>
    </w:pPr>
    <w:rPr>
      <w:rFonts w:eastAsiaTheme="minorHAnsi" w:cstheme="minorBidi"/>
      <w:iCs/>
      <w:sz w:val="20"/>
      <w:szCs w:val="18"/>
      <w:lang w:eastAsia="en-US"/>
    </w:rPr>
  </w:style>
  <w:style w:type="character" w:customStyle="1" w:styleId="RAN4proposalChar">
    <w:name w:val="RAN4 proposal Char"/>
    <w:basedOn w:val="DefaultParagraphFont"/>
    <w:link w:val="RAN4proposal"/>
    <w:rsid w:val="00034D0F"/>
    <w:rPr>
      <w:rFonts w:ascii="Times New Roman" w:eastAsiaTheme="minorHAnsi" w:hAnsi="Times New Roman"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63833028">
      <w:bodyDiv w:val="1"/>
      <w:marLeft w:val="0"/>
      <w:marRight w:val="0"/>
      <w:marTop w:val="0"/>
      <w:marBottom w:val="0"/>
      <w:divBdr>
        <w:top w:val="none" w:sz="0" w:space="0" w:color="auto"/>
        <w:left w:val="none" w:sz="0" w:space="0" w:color="auto"/>
        <w:bottom w:val="none" w:sz="0" w:space="0" w:color="auto"/>
        <w:right w:val="none" w:sz="0" w:space="0" w:color="auto"/>
      </w:divBdr>
    </w:div>
    <w:div w:id="867762957">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RBI5PAMIO524-1616901215-48366</_dlc_DocId>
    <_dlc_DocIdUrl xmlns="71c5aaf6-e6ce-465b-b873-5148d2a4c105">
      <Url>https://nokia.sharepoint.com/sites/gxp/_layouts/15/DocIdRedir.aspx?ID=RBI5PAMIO524-1616901215-48366</Url>
      <Description>RBI5PAMIO524-1616901215-48366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1061AC2-1CAD-48BC-BD60-8DD516E5D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71c5aaf6-e6ce-465b-b873-5148d2a4c105"/>
    <ds:schemaRef ds:uri="7275bb01-7583-478d-bc14-e839a2dd5989"/>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FF6F30BD-5DFC-43A0-AB51-EAC9B471AD7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4CB2664-A0D5-451C-B3C0-3C816CD642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Rafael Paiva (Nokia)</cp:lastModifiedBy>
  <cp:revision>2</cp:revision>
  <cp:lastPrinted>2017-08-09T04:40:00Z</cp:lastPrinted>
  <dcterms:created xsi:type="dcterms:W3CDTF">2025-05-09T21:21:00Z</dcterms:created>
  <dcterms:modified xsi:type="dcterms:W3CDTF">2025-05-09T21:21:00Z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0x01010055A05E76B664164F9F76E63E6D6BE6ED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MediaServiceImageTags">
    <vt:lpwstr/>
  </property>
  <property fmtid="{D5CDD505-2E9C-101B-9397-08002B2CF9AE}" pid="20" name="_dlc_DocIdItemGuid">
    <vt:lpwstr>c40f6ea8-f6da-4eb9-9630-3ca305ffe29b</vt:lpwstr>
  </property>
</Properties>
</file>